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BEA2B" w14:textId="0141C82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2A7866">
        <w:rPr>
          <w:rFonts w:asciiTheme="minorHAnsi" w:hAnsiTheme="minorHAnsi" w:cstheme="minorHAnsi"/>
          <w:b/>
          <w:bCs/>
          <w:sz w:val="28"/>
          <w:szCs w:val="28"/>
        </w:rPr>
        <w:t>ПЕТТЕ ТЕМАТИЧНИ ОБЛАСТИ И СЪОТВЕТНИТЕ ПОДОБЛАСТИ НА ИНОВАЦИОННАТА СТРАТЕГИЯ ЗА ИНТЕЛИГЕНТНА СПЕЦИАЛИЗАЦИЯ 2021 - 2027</w:t>
      </w:r>
    </w:p>
    <w:p w14:paraId="528F7006" w14:textId="77777777" w:rsidR="00B15010" w:rsidRDefault="00B15010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312FA577" w14:textId="164C877D" w:rsidR="00B15010" w:rsidRDefault="00B15010" w:rsidP="00B15010">
      <w:pPr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2A7866">
        <w:rPr>
          <w:rFonts w:asciiTheme="minorHAnsi" w:hAnsiTheme="minorHAnsi" w:cstheme="minorHAnsi"/>
          <w:b/>
          <w:sz w:val="28"/>
          <w:szCs w:val="28"/>
        </w:rPr>
        <w:t>Информатика и ИКТ</w:t>
      </w:r>
      <w:r>
        <w:rPr>
          <w:rFonts w:asciiTheme="minorHAnsi" w:hAnsiTheme="minorHAnsi" w:cstheme="minorHAnsi"/>
          <w:b/>
          <w:sz w:val="28"/>
          <w:szCs w:val="28"/>
        </w:rPr>
        <w:t>;</w:t>
      </w:r>
    </w:p>
    <w:p w14:paraId="05868FEF" w14:textId="6CBB53E2" w:rsidR="00B15010" w:rsidRPr="00B15010" w:rsidRDefault="00B15010" w:rsidP="00B15010">
      <w:pPr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b/>
          <w:sz w:val="28"/>
          <w:szCs w:val="28"/>
        </w:rPr>
        <w:t>Мехатроника и микроелектроника</w:t>
      </w:r>
      <w:r>
        <w:rPr>
          <w:rFonts w:asciiTheme="minorHAnsi" w:hAnsiTheme="minorHAnsi" w:cstheme="minorHAnsi"/>
          <w:b/>
          <w:sz w:val="28"/>
          <w:szCs w:val="28"/>
        </w:rPr>
        <w:t>;</w:t>
      </w:r>
    </w:p>
    <w:p w14:paraId="07829DB1" w14:textId="7B498309" w:rsidR="00B15010" w:rsidRPr="00B15010" w:rsidRDefault="00B15010" w:rsidP="00B15010">
      <w:pPr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b/>
          <w:sz w:val="28"/>
          <w:szCs w:val="28"/>
        </w:rPr>
        <w:t>Индустрия за здравословен живот, биоикономика и биотехнологии</w:t>
      </w:r>
      <w:r>
        <w:rPr>
          <w:rFonts w:asciiTheme="minorHAnsi" w:hAnsiTheme="minorHAnsi" w:cstheme="minorHAnsi"/>
          <w:b/>
          <w:sz w:val="28"/>
          <w:szCs w:val="28"/>
        </w:rPr>
        <w:t>;</w:t>
      </w:r>
    </w:p>
    <w:p w14:paraId="619DD0D2" w14:textId="71AE16FD" w:rsidR="00B15010" w:rsidRPr="00B15010" w:rsidRDefault="00B15010" w:rsidP="00B15010">
      <w:pPr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b/>
          <w:sz w:val="28"/>
          <w:szCs w:val="28"/>
        </w:rPr>
        <w:t>Нови технологии в креативните и рекреативните индустрии</w:t>
      </w:r>
      <w:r>
        <w:rPr>
          <w:rFonts w:asciiTheme="minorHAnsi" w:hAnsiTheme="minorHAnsi" w:cstheme="minorHAnsi"/>
          <w:b/>
          <w:sz w:val="28"/>
          <w:szCs w:val="28"/>
        </w:rPr>
        <w:t>;</w:t>
      </w:r>
    </w:p>
    <w:p w14:paraId="3CEBD5B3" w14:textId="253E0C75" w:rsidR="00B15010" w:rsidRDefault="00B15010" w:rsidP="00B15010">
      <w:pPr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b/>
          <w:sz w:val="28"/>
          <w:szCs w:val="28"/>
        </w:rPr>
        <w:t>Чисти технологии, кръгова и нисковъглеродна икономика</w:t>
      </w:r>
      <w:r>
        <w:rPr>
          <w:rFonts w:asciiTheme="minorHAnsi" w:hAnsiTheme="minorHAnsi" w:cstheme="minorHAnsi"/>
          <w:b/>
          <w:sz w:val="28"/>
          <w:szCs w:val="28"/>
        </w:rPr>
        <w:t>.</w:t>
      </w:r>
    </w:p>
    <w:p w14:paraId="667A65F7" w14:textId="77777777" w:rsidR="00B15010" w:rsidRDefault="00B15010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185E86FA" w14:textId="0BEB8C84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В рамките на </w:t>
      </w:r>
      <w:r w:rsidRPr="002A7866">
        <w:rPr>
          <w:rFonts w:asciiTheme="minorHAnsi" w:hAnsiTheme="minorHAnsi" w:cstheme="minorHAnsi"/>
          <w:b/>
          <w:sz w:val="28"/>
          <w:szCs w:val="28"/>
        </w:rPr>
        <w:t>тематична област</w:t>
      </w:r>
      <w:r w:rsidRPr="002A7866">
        <w:rPr>
          <w:rFonts w:asciiTheme="minorHAnsi" w:hAnsiTheme="minorHAnsi" w:cstheme="minorHAnsi"/>
          <w:sz w:val="28"/>
          <w:szCs w:val="28"/>
        </w:rPr>
        <w:t xml:space="preserve"> </w:t>
      </w:r>
      <w:r w:rsidRPr="002A7866">
        <w:rPr>
          <w:rFonts w:asciiTheme="minorHAnsi" w:hAnsiTheme="minorHAnsi" w:cstheme="minorHAnsi"/>
          <w:b/>
          <w:sz w:val="28"/>
          <w:szCs w:val="28"/>
        </w:rPr>
        <w:t>„</w:t>
      </w:r>
      <w:bookmarkStart w:id="0" w:name="_Hlk160641096"/>
      <w:r w:rsidRPr="002A7866">
        <w:rPr>
          <w:rFonts w:asciiTheme="minorHAnsi" w:hAnsiTheme="minorHAnsi" w:cstheme="minorHAnsi"/>
          <w:b/>
          <w:sz w:val="28"/>
          <w:szCs w:val="28"/>
        </w:rPr>
        <w:t>Информатика и ИКТ</w:t>
      </w:r>
      <w:bookmarkEnd w:id="0"/>
      <w:r w:rsidRPr="002A7866">
        <w:rPr>
          <w:rFonts w:asciiTheme="minorHAnsi" w:hAnsiTheme="minorHAnsi" w:cstheme="minorHAnsi"/>
          <w:sz w:val="28"/>
          <w:szCs w:val="28"/>
        </w:rPr>
        <w:t>“ се включват следните приоритетни подобласти:</w:t>
      </w:r>
    </w:p>
    <w:p w14:paraId="7D6CE541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ИКТ-базирани услуги и системи; ИКТ подходи в машиностроене, медицина и творчески индустрии и рекреативни индустрии, кръгова и биобазирана икономика, туризъм (във връзка с другите тематични области), вкл. дигитализация на културно-историческо наследство, развлекателни и образователни игри, теле-медицина и теле-грижа и “вградени технологии”;</w:t>
      </w:r>
    </w:p>
    <w:p w14:paraId="55A3F6E8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- 3D дигитализация, визуализация и прототипиране;</w:t>
      </w:r>
    </w:p>
    <w:p w14:paraId="0E440BB5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Интернет на нещата (IoT);</w:t>
      </w:r>
    </w:p>
    <w:p w14:paraId="6381E808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Изкуствен интелект и повишаване на промишления и технологичен капацитет в усвояване на изкуствения интелект;</w:t>
      </w:r>
    </w:p>
    <w:p w14:paraId="09AF6D7A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големи/свързани данни, геопространствени данни, анализ на данни, обработка на данни (Data processing, Small data science), инструментариум за работа с данни, споделяне, обмен, използване и повторно използване на данни, облачни изчисления (Big Data, Grid and Cloud Technologies), модели за предвиждане, основани на данни;</w:t>
      </w:r>
      <w:r w:rsidRPr="002A7866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2A7866">
        <w:rPr>
          <w:rFonts w:asciiTheme="minorHAnsi" w:hAnsiTheme="minorHAnsi" w:cstheme="minorHAnsi"/>
          <w:sz w:val="28"/>
          <w:szCs w:val="28"/>
        </w:rPr>
        <w:t>симулация, моделиране и цифрови близнаци;</w:t>
      </w:r>
    </w:p>
    <w:p w14:paraId="2A078A62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- комуникационни мрежи, включително безжични сензорни мрежи и безжична комуникация/управление; </w:t>
      </w:r>
    </w:p>
    <w:p w14:paraId="7E5499C1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киберфизически системи и цифрови двойници; киберсигурност;</w:t>
      </w:r>
    </w:p>
    <w:p w14:paraId="0E9B7E3F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блокчейн технологии;</w:t>
      </w:r>
    </w:p>
    <w:p w14:paraId="7E46F78C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системи и услуги в сферата на финтех;</w:t>
      </w:r>
    </w:p>
    <w:p w14:paraId="0393ACB3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технологии за човеко-машинно взаимодействие (Interaction technologies);</w:t>
      </w:r>
    </w:p>
    <w:p w14:paraId="535505CD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- интернет услуги; софтуер като услуга, innovation-as-a-service и everything-as-a-service (SaaS, IaaS и XaaS) и архитектура на услугата; уеб, хибридни и </w:t>
      </w:r>
      <w:r w:rsidRPr="002A7866">
        <w:rPr>
          <w:rFonts w:asciiTheme="minorHAnsi" w:hAnsiTheme="minorHAnsi" w:cstheme="minorHAnsi"/>
          <w:sz w:val="28"/>
          <w:szCs w:val="28"/>
        </w:rPr>
        <w:lastRenderedPageBreak/>
        <w:t>"native" приложения, уеб базирани приложения за създаване и експлоатиране на нови услуги и продукти;</w:t>
      </w:r>
    </w:p>
    <w:p w14:paraId="7FCC5AD7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 - производства, включително Fabless, особено на създадени в България продукти, устройства и системи.</w:t>
      </w:r>
    </w:p>
    <w:p w14:paraId="779B498F" w14:textId="77777777" w:rsid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5DC5F459" w14:textId="53A838E3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В рамките </w:t>
      </w:r>
      <w:r w:rsidRPr="002A7866">
        <w:rPr>
          <w:rFonts w:asciiTheme="minorHAnsi" w:hAnsiTheme="minorHAnsi" w:cstheme="minorHAnsi"/>
          <w:b/>
          <w:sz w:val="28"/>
          <w:szCs w:val="28"/>
        </w:rPr>
        <w:t xml:space="preserve">на тематична област </w:t>
      </w:r>
      <w:bookmarkStart w:id="1" w:name="_Hlk160641134"/>
      <w:r w:rsidRPr="002A7866">
        <w:rPr>
          <w:rFonts w:asciiTheme="minorHAnsi" w:hAnsiTheme="minorHAnsi" w:cstheme="minorHAnsi"/>
          <w:b/>
          <w:sz w:val="28"/>
          <w:szCs w:val="28"/>
        </w:rPr>
        <w:t>„Мехатроника и микроелектроника”</w:t>
      </w:r>
      <w:bookmarkEnd w:id="1"/>
      <w:r w:rsidRPr="002A7866">
        <w:rPr>
          <w:rFonts w:asciiTheme="minorHAnsi" w:hAnsiTheme="minorHAnsi" w:cstheme="minorHAnsi"/>
          <w:sz w:val="28"/>
          <w:szCs w:val="28"/>
        </w:rPr>
        <w:t xml:space="preserve"> се включват следните приоритетни подобласти:</w:t>
      </w:r>
    </w:p>
    <w:p w14:paraId="0E3BD91F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Производство на базови елементи, детайли, възли и оборудване, вграждани като част от мехатронен агрегат или самостоятелно съставляващи такъв агрегат;</w:t>
      </w:r>
    </w:p>
    <w:p w14:paraId="2905251F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Машиностроене и уредостроене, вкл. части, компоненти и системи, с акцент върху универсална, специализирана, специална/кибер/ и сервизна роботика;</w:t>
      </w:r>
    </w:p>
    <w:p w14:paraId="456DEC34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Разработка и производство на електронни и електромеханични компоненти и модули;</w:t>
      </w:r>
    </w:p>
    <w:p w14:paraId="250B6DD8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Инженеринг, реинженеринг и продължаване на жизнения цикъл на индустриални машини, уреди и системи на база платформа “Индустрия 4.0” и дигитализация и цифрова трансформация на индустриалното производство;</w:t>
      </w:r>
    </w:p>
    <w:p w14:paraId="4281C0F9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 - Проектиране, развитие и производство на роботизирани системи за автоматизация в т.ч. и такива с изкуствен интелект; Насърчаване стартирането на серийно производство на български автономни роботи и системи; увеличено внедряване на роботи и автономни технологии в българската промишленост; използване на роботи в секторите с дългосрочен дефицит на кадри като: земеделие, хигиенни дейности, ръчни повторяеми операции и други;</w:t>
      </w:r>
    </w:p>
    <w:p w14:paraId="06D4F191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Разработване, изследване и приложение на системи за технологична роботизация, с акцент на тежки процеси и агресивни среди (заваръчни процеси, леярски системи, обслужване и поддръжка на агресивни и опасни процеси и др.);</w:t>
      </w:r>
    </w:p>
    <w:p w14:paraId="32440ABD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- Проектиране и производство на високотехнологични и експортно ориентирани мехатронни продукти с висока добавена стойност вкл. в аеро-космическата индустрия и участие в над-национални производствени вериги; Хибридно валидиране на мехатронни системи чрез виртуални и физически прототипи; Автомобилна и авио-мехатроника; </w:t>
      </w:r>
    </w:p>
    <w:p w14:paraId="775CBDF0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lastRenderedPageBreak/>
        <w:t>- Интелигентни системи и уреди, вкл. използващи изкуствен интелект; 3-D моделиране, проектиране и валидиране на компоненти и системи; 3-D принтиране за нуждите на индустрията;</w:t>
      </w:r>
    </w:p>
    <w:p w14:paraId="3BEF92C1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Биомехатроника; Биоелектроника– моделиране и характеризиране на зарядов пренос и обработка на сигнали в биообекти като протеини, DNA и др. за разработване на градивни елементи и създаване на прототипи на интегрални устройства и сензори;</w:t>
      </w:r>
    </w:p>
    <w:p w14:paraId="70DDC59C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- Системи и технологии за развитие на Синята икономика; </w:t>
      </w:r>
    </w:p>
    <w:p w14:paraId="06F2E72A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Системи и технологии, базирани на мобилност и местоположение;</w:t>
      </w:r>
    </w:p>
    <w:p w14:paraId="2F9AE28B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Фотоника и технологии за изображения;</w:t>
      </w:r>
    </w:p>
    <w:p w14:paraId="63F1AF62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Моделиране (device modeling) на полупроводникови елементи и компоненти, както и схеми и системи, съдържащи конвенционални и неконвенционални субмикронни и наноразмерни устройства – компактни модели, физични модели, поведенчески модели, логически модели, системни модели; Схемно (circuit) проектиране (ECAD), топологично (layout) проектиране (ECAD), технологично проектиране (TCAD) и разработване на интегрални схеми и системи – цифрови, аналогови, смесеносигнални, RF; Проектиране, разработване, изследване, прототипиране и окачествяване на специализирани аналогови и цифроаналогови интегрални схеми (ASIC), включително EMC и ESD защита-върху-чип; Верификация и тестване на полупроводникови интегрални схеми в процеса на разработване и в процеса на производство;</w:t>
      </w:r>
    </w:p>
    <w:p w14:paraId="49E227FB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Виртуални технологии за развитие на нови продукти и процеси, виртуално прототипиране и оптимизация;</w:t>
      </w:r>
    </w:p>
    <w:p w14:paraId="042498CF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Проектиране, разработване, характеризиране и прототипиране на MEMS устройства и структури за сензори, RF, биомедицински, индустриални, земеделски, фармакология и др. приложения;</w:t>
      </w:r>
    </w:p>
    <w:p w14:paraId="0B0701C3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Асемблиране и корпусиране на полупроводникови чипове;</w:t>
      </w:r>
    </w:p>
    <w:p w14:paraId="26DB5109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Анализ на отказите (failure analysis) в интегрални схеми, системи, устройства, модули; Разработване на софтуер за вградени системи (embedded systems), както и софтуерни решения за проектиране (EDA), вкл. с отворен код;</w:t>
      </w:r>
    </w:p>
    <w:p w14:paraId="46C08CC7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Синтез и характеризиране на нови материали с приложения в микро- и наноелектрониката;</w:t>
      </w:r>
    </w:p>
    <w:p w14:paraId="63E58535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 w:rsidRPr="002A7866">
        <w:rPr>
          <w:rFonts w:asciiTheme="minorHAnsi" w:hAnsiTheme="minorHAnsi" w:cstheme="minorHAnsi"/>
          <w:sz w:val="28"/>
          <w:szCs w:val="28"/>
        </w:rPr>
        <w:lastRenderedPageBreak/>
        <w:t>- Проектиране, разработване и производство на устройства, съоръжения и системи с приложение в полупроводниковите производства; Пилотни линии за експериментиране, разработване и тестване на иновативни процеси, съоръжения и технологии</w:t>
      </w:r>
      <w:r w:rsidRPr="002A7866">
        <w:rPr>
          <w:rFonts w:asciiTheme="minorHAnsi" w:hAnsiTheme="minorHAnsi" w:cstheme="minorHAnsi"/>
          <w:sz w:val="28"/>
          <w:szCs w:val="28"/>
          <w:lang w:val="en-US"/>
        </w:rPr>
        <w:t>;</w:t>
      </w:r>
    </w:p>
    <w:p w14:paraId="77343710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Моделиране, характеризиране, проектиране и разработване на процеси и технологии за преобразуване на събраната енергия (energy harvesting), както и проектиране, прототипиране и производство на такива устройства;</w:t>
      </w:r>
    </w:p>
    <w:p w14:paraId="293167D6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Разработване, усъвършенстване и адаптиране на подходи, технологии за ускоряване на разработването на квантови чипове.</w:t>
      </w:r>
    </w:p>
    <w:p w14:paraId="1663E03C" w14:textId="77777777" w:rsid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67693C81" w14:textId="6FBC65A0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В рамките на </w:t>
      </w:r>
      <w:r w:rsidRPr="002A7866">
        <w:rPr>
          <w:rFonts w:asciiTheme="minorHAnsi" w:hAnsiTheme="minorHAnsi" w:cstheme="minorHAnsi"/>
          <w:b/>
          <w:sz w:val="28"/>
          <w:szCs w:val="28"/>
        </w:rPr>
        <w:t>тематична област „</w:t>
      </w:r>
      <w:bookmarkStart w:id="2" w:name="_Hlk160641173"/>
      <w:r w:rsidRPr="002A7866">
        <w:rPr>
          <w:rFonts w:asciiTheme="minorHAnsi" w:hAnsiTheme="minorHAnsi" w:cstheme="minorHAnsi"/>
          <w:b/>
          <w:sz w:val="28"/>
          <w:szCs w:val="28"/>
        </w:rPr>
        <w:t xml:space="preserve">Индустрия за здравословен живот, биоикономика и биотехнологии" </w:t>
      </w:r>
      <w:bookmarkEnd w:id="2"/>
      <w:r w:rsidRPr="002A7866">
        <w:rPr>
          <w:rFonts w:asciiTheme="minorHAnsi" w:hAnsiTheme="minorHAnsi" w:cstheme="minorHAnsi"/>
          <w:sz w:val="28"/>
          <w:szCs w:val="28"/>
        </w:rPr>
        <w:t>се включват следните приоритетни подобласти:</w:t>
      </w:r>
    </w:p>
    <w:p w14:paraId="4B4310CE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Методи за чисто производство, съхранение, преработка и достигане до крайния потребител на специфични български съставки, средства и продукти (вкл. кисело мляко, мед и пчелни продукти, хляб, вино, млечни и месни продукти, етерични масла, бира, билки и билкови продукти, козметични средства и продукти);</w:t>
      </w:r>
    </w:p>
    <w:p w14:paraId="66E896E9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Производство на инструменти, оборудване, консумативи за медицинска и дентална диагностика и терапия и/или участие в над-национална производствена верига;</w:t>
      </w:r>
    </w:p>
    <w:p w14:paraId="03F24DF4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Персонална медицина, диагностика и индивидуална терапия, лечебни и лекарствени форми и средства;</w:t>
      </w:r>
    </w:p>
    <w:p w14:paraId="01A52CF0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Медицински и лечебен туризъм с акцент върху възможностите за персонализация (немасов, а персонален туризъм);</w:t>
      </w:r>
    </w:p>
    <w:p w14:paraId="38B99581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Биотехнологии с пряко приложение за здравословен начин на живот;</w:t>
      </w:r>
    </w:p>
    <w:p w14:paraId="42A9570C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Въвеждане на иновативни методи в селското стопанство и рибовъдството, без използване на химически препарати за борба с вредители и торене;</w:t>
      </w:r>
    </w:p>
    <w:p w14:paraId="757D3CDA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Приложение на нови методи и технологии в устойчивото ползване на речни и морски ресурси;</w:t>
      </w:r>
    </w:p>
    <w:p w14:paraId="60945AB3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Синя и зелена биобазирана икономика;</w:t>
      </w:r>
    </w:p>
    <w:p w14:paraId="36686742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Индустриални биотехнологии;</w:t>
      </w:r>
    </w:p>
    <w:p w14:paraId="5E4E2DD6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ИКТ с приложение в тематичната област;</w:t>
      </w:r>
    </w:p>
    <w:p w14:paraId="784142EE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Ин витро, тъканно инженерство и регенеративна медицина;</w:t>
      </w:r>
    </w:p>
    <w:p w14:paraId="7AB19CA5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Фотоника и технологии за изображения, екрани и технологии за дисплей.</w:t>
      </w:r>
    </w:p>
    <w:p w14:paraId="19B92B3C" w14:textId="77777777" w:rsid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0AD34D45" w14:textId="109E0882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В рамките на </w:t>
      </w:r>
      <w:r w:rsidRPr="002A7866">
        <w:rPr>
          <w:rFonts w:asciiTheme="minorHAnsi" w:hAnsiTheme="minorHAnsi" w:cstheme="minorHAnsi"/>
          <w:b/>
          <w:sz w:val="28"/>
          <w:szCs w:val="28"/>
        </w:rPr>
        <w:t>тематична област „</w:t>
      </w:r>
      <w:bookmarkStart w:id="3" w:name="_Hlk160641214"/>
      <w:r w:rsidRPr="002A7866">
        <w:rPr>
          <w:rFonts w:asciiTheme="minorHAnsi" w:hAnsiTheme="minorHAnsi" w:cstheme="minorHAnsi"/>
          <w:b/>
          <w:sz w:val="28"/>
          <w:szCs w:val="28"/>
        </w:rPr>
        <w:t>Нови технологии в креативните и рекреативните индустрии"</w:t>
      </w:r>
      <w:r w:rsidRPr="002A7866">
        <w:rPr>
          <w:rFonts w:asciiTheme="minorHAnsi" w:hAnsiTheme="minorHAnsi" w:cstheme="minorHAnsi"/>
          <w:sz w:val="28"/>
          <w:szCs w:val="28"/>
        </w:rPr>
        <w:t xml:space="preserve"> </w:t>
      </w:r>
      <w:bookmarkEnd w:id="3"/>
      <w:r w:rsidRPr="002A7866">
        <w:rPr>
          <w:rFonts w:asciiTheme="minorHAnsi" w:hAnsiTheme="minorHAnsi" w:cstheme="minorHAnsi"/>
          <w:sz w:val="28"/>
          <w:szCs w:val="28"/>
        </w:rPr>
        <w:t>се включват следните приоритетни подобласти:</w:t>
      </w:r>
    </w:p>
    <w:p w14:paraId="6748161F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Културните и творческите индустрии, вкл. дигитализация (според дефиниция на ЕК: архитектура, архивно дело и библиотекарство, артистично занаятчийство, аудио-визуални форми (филми, ТВ, видео игри и мултимедия), културно наследство, дизайн, вкл. моден дизайн, фестивали, музика, сценични и визуални изкуства, издателска дейност, радио);</w:t>
      </w:r>
    </w:p>
    <w:p w14:paraId="53859D18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Компютърни и мобилни приложения и игри с образователен, маркетинг и/или развлекателен характер;</w:t>
      </w:r>
    </w:p>
    <w:p w14:paraId="47E888E5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Производство на стоки и съоръжения с пряко приложение в тези сфери (напр. национални (регионални) носии, велосипеди, стени за катерене и др. стоки и услуги за алтернативни и екстремни спортове и туризъм, костюми, декори, материали за исторически възстановки, специализирана екипировка и оборудване, печатни издания).</w:t>
      </w:r>
    </w:p>
    <w:p w14:paraId="1E9124C0" w14:textId="77777777" w:rsid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3ED8979A" w14:textId="29939A3F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 xml:space="preserve">В рамките на </w:t>
      </w:r>
      <w:r w:rsidRPr="002A7866">
        <w:rPr>
          <w:rFonts w:asciiTheme="minorHAnsi" w:hAnsiTheme="minorHAnsi" w:cstheme="minorHAnsi"/>
          <w:b/>
          <w:sz w:val="28"/>
          <w:szCs w:val="28"/>
        </w:rPr>
        <w:t>тематична област „</w:t>
      </w:r>
      <w:bookmarkStart w:id="4" w:name="_Hlk160641241"/>
      <w:r w:rsidRPr="002A7866">
        <w:rPr>
          <w:rFonts w:asciiTheme="minorHAnsi" w:hAnsiTheme="minorHAnsi" w:cstheme="minorHAnsi"/>
          <w:b/>
          <w:sz w:val="28"/>
          <w:szCs w:val="28"/>
        </w:rPr>
        <w:t>Чисти технологии, кръгова и нисковъглеродна икономика"</w:t>
      </w:r>
      <w:bookmarkEnd w:id="4"/>
      <w:r w:rsidRPr="002A7866">
        <w:rPr>
          <w:rFonts w:asciiTheme="minorHAnsi" w:hAnsiTheme="minorHAnsi" w:cstheme="minorHAnsi"/>
          <w:b/>
          <w:sz w:val="28"/>
          <w:szCs w:val="28"/>
          <w:lang w:val="en-US"/>
        </w:rPr>
        <w:t xml:space="preserve"> </w:t>
      </w:r>
      <w:r w:rsidRPr="002A7866">
        <w:rPr>
          <w:rFonts w:asciiTheme="minorHAnsi" w:hAnsiTheme="minorHAnsi" w:cstheme="minorHAnsi"/>
          <w:sz w:val="28"/>
          <w:szCs w:val="28"/>
        </w:rPr>
        <w:t>се включват  следните приоритетни подобласти:</w:t>
      </w:r>
    </w:p>
    <w:p w14:paraId="163CC3B1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Иновации в областта на производството, съхранение, спестяване, ефективно разпределение и потребление на енергия, вкл. от различни възобновяеми енергийни източници;</w:t>
      </w:r>
    </w:p>
    <w:p w14:paraId="342C217D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Създаване на съвременни информационни комплекси за автономни енергийни системи;</w:t>
      </w:r>
    </w:p>
    <w:p w14:paraId="1C0D7721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Водород - базирани технологии: производство на водород с акцент върху зеления водород, съхранение, транспорт и използване на водорода в индустрията, енергетиката, транспорта и бита;</w:t>
      </w:r>
    </w:p>
    <w:p w14:paraId="4B9FE1BD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Разработване на иновативни устойчиви технологии за интегриране на водород в промишлени процеси, особено тези, които са по-трудни за декарбонизация, като стомана, цимент и стъкло;</w:t>
      </w:r>
    </w:p>
    <w:p w14:paraId="4FA3E4B4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Разработване и внедряване на технологии свързани с устойчивата мобилност (батерийна и водородна), базирана на водород и други алтернативни горива, свързана инфраструктура и еко-мобилността;</w:t>
      </w:r>
    </w:p>
    <w:p w14:paraId="5D89AD72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lastRenderedPageBreak/>
        <w:t>- Технологии за ефективно използване на ресурсите, за намаляване съдържанието на опасни вещества, за използване на алтернативни суровини и материали, за удължаване живота на продуктите и използването им в други производства и услуги;</w:t>
      </w:r>
    </w:p>
    <w:p w14:paraId="05CFE960" w14:textId="77777777" w:rsidR="002A7866" w:rsidRPr="002A7866" w:rsidRDefault="002A7866" w:rsidP="002A7866">
      <w:pPr>
        <w:spacing w:after="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2A7866">
        <w:rPr>
          <w:rFonts w:asciiTheme="minorHAnsi" w:hAnsiTheme="minorHAnsi" w:cstheme="minorHAnsi"/>
          <w:sz w:val="28"/>
          <w:szCs w:val="28"/>
        </w:rPr>
        <w:t>- Безотпадни технологии и методи за включване на отпадъчни продукти и материали от производства в други производства и услуги.</w:t>
      </w:r>
    </w:p>
    <w:p w14:paraId="738599D3" w14:textId="413BA6A0" w:rsidR="002A7866" w:rsidRPr="002A7866" w:rsidRDefault="002A7866" w:rsidP="002A7866">
      <w:pPr>
        <w:spacing w:after="0" w:line="276" w:lineRule="auto"/>
        <w:rPr>
          <w:rFonts w:asciiTheme="minorHAnsi" w:hAnsiTheme="minorHAnsi" w:cstheme="minorHAnsi"/>
          <w:sz w:val="28"/>
          <w:szCs w:val="28"/>
          <w:lang w:eastAsia="bg-BG"/>
        </w:rPr>
      </w:pPr>
      <w:r w:rsidRPr="002A7866">
        <w:rPr>
          <w:rFonts w:asciiTheme="minorHAnsi" w:hAnsiTheme="minorHAnsi" w:cstheme="minorHAnsi"/>
          <w:sz w:val="28"/>
          <w:szCs w:val="28"/>
        </w:rPr>
        <w:t>случай на партньорство, партньорът също следва да бъде МСП</w:t>
      </w:r>
      <w:r w:rsidRPr="002A7866">
        <w:rPr>
          <w:rFonts w:asciiTheme="minorHAnsi" w:hAnsiTheme="minorHAnsi" w:cstheme="minorHAnsi"/>
          <w:sz w:val="28"/>
          <w:szCs w:val="28"/>
          <w:lang w:eastAsia="bg-BG"/>
        </w:rPr>
        <w:t xml:space="preserve"> </w:t>
      </w:r>
    </w:p>
    <w:p w14:paraId="2D9EDAE4" w14:textId="77777777" w:rsidR="002F4FD0" w:rsidRPr="002A7866" w:rsidRDefault="002F4FD0" w:rsidP="002A7866">
      <w:pPr>
        <w:spacing w:after="0" w:line="276" w:lineRule="auto"/>
        <w:rPr>
          <w:rFonts w:asciiTheme="minorHAnsi" w:hAnsiTheme="minorHAnsi" w:cstheme="minorHAnsi"/>
          <w:sz w:val="28"/>
          <w:szCs w:val="28"/>
        </w:rPr>
      </w:pPr>
    </w:p>
    <w:sectPr w:rsidR="002F4FD0" w:rsidRPr="002A7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2FA9E" w14:textId="77777777" w:rsidR="00433685" w:rsidRDefault="00433685" w:rsidP="002A7866">
      <w:pPr>
        <w:spacing w:after="0" w:line="240" w:lineRule="auto"/>
      </w:pPr>
      <w:r>
        <w:separator/>
      </w:r>
    </w:p>
  </w:endnote>
  <w:endnote w:type="continuationSeparator" w:id="0">
    <w:p w14:paraId="0462D06A" w14:textId="77777777" w:rsidR="00433685" w:rsidRDefault="00433685" w:rsidP="002A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1F7D8" w14:textId="77777777" w:rsidR="00433685" w:rsidRDefault="00433685" w:rsidP="002A7866">
      <w:pPr>
        <w:spacing w:after="0" w:line="240" w:lineRule="auto"/>
      </w:pPr>
      <w:r>
        <w:separator/>
      </w:r>
    </w:p>
  </w:footnote>
  <w:footnote w:type="continuationSeparator" w:id="0">
    <w:p w14:paraId="5134D573" w14:textId="77777777" w:rsidR="00433685" w:rsidRDefault="00433685" w:rsidP="002A7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97896"/>
    <w:multiLevelType w:val="hybridMultilevel"/>
    <w:tmpl w:val="FECA31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86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866"/>
    <w:rsid w:val="000A00FF"/>
    <w:rsid w:val="002A7866"/>
    <w:rsid w:val="002F4FD0"/>
    <w:rsid w:val="00433685"/>
    <w:rsid w:val="00B1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A6911"/>
  <w15:chartTrackingRefBased/>
  <w15:docId w15:val="{24D206DD-03D3-4B0F-8F3F-73BE81C3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866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semiHidden/>
    <w:locked/>
    <w:rsid w:val="002A7866"/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,Footno"/>
    <w:basedOn w:val="Normal"/>
    <w:link w:val="FootnoteTextChar"/>
    <w:uiPriority w:val="99"/>
    <w:semiHidden/>
    <w:unhideWhenUsed/>
    <w:qFormat/>
    <w:rsid w:val="002A7866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noteTextChar1">
    <w:name w:val="Footnote Text Char1"/>
    <w:basedOn w:val="DefaultParagraphFont"/>
    <w:uiPriority w:val="99"/>
    <w:semiHidden/>
    <w:rsid w:val="002A786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,Footnotes refss"/>
    <w:semiHidden/>
    <w:unhideWhenUsed/>
    <w:qFormat/>
    <w:rsid w:val="002A78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1463</Words>
  <Characters>8343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мишел милушева</dc:creator>
  <cp:keywords/>
  <dc:description/>
  <cp:lastModifiedBy>мишел милушева</cp:lastModifiedBy>
  <cp:revision>2</cp:revision>
  <dcterms:created xsi:type="dcterms:W3CDTF">2024-02-29T14:10:00Z</dcterms:created>
  <dcterms:modified xsi:type="dcterms:W3CDTF">2024-03-06T16:14:00Z</dcterms:modified>
</cp:coreProperties>
</file>